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08"/>
        <w:gridCol w:w="2495"/>
        <w:gridCol w:w="2352"/>
        <w:gridCol w:w="2324"/>
        <w:tblGridChange w:id="0">
          <w:tblGrid>
            <w:gridCol w:w="2008"/>
            <w:gridCol w:w="2495"/>
            <w:gridCol w:w="2352"/>
            <w:gridCol w:w="2324"/>
          </w:tblGrid>
        </w:tblGridChange>
      </w:tblGrid>
      <w:tr>
        <w:trPr>
          <w:cantSplit w:val="0"/>
          <w:trHeight w:val="109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TIPO DE CONVENIO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ESPECIFICO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EXPEDIENTE Nº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(A completar cuando se forma expediente)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ORGANISMO CON EL QUE SE CONVENIA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Organización de la Sociedad Civil (Colegio Profesional)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NOMBRE O RAZÓN SOCIAL DEL CONVENIANTE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COLEGIO DE GRADUADOS EN COOPERATIVISMO Y MUTUALISMO DE LA REPUBLICA ARGENTINA </w:t>
            </w:r>
          </w:p>
        </w:tc>
      </w:tr>
      <w:tr>
        <w:trPr>
          <w:cantSplit w:val="0"/>
          <w:trHeight w:val="21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LINEAS ESTRATÉGICAS DEL PLAN DE DESARROLLO INSTITUCIONAL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GRANDES AREAS EN LA QUE SE INSCRIBE LA ACIVIDAD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Educación a distancia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72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Ciencias Sociales (Cooperativismo y Mutualismo)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UNIDAD QUE PROPONE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Secretaría de Extensión y Vinculación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UNIDADES CON INCUMBENCIAS EN EL/LAS 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Coordinación del Sistema Institucional de Educación A Distancia (SIED) - SGA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SUBTIPO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Institucional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Académico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Diploma a Distancia en herramientas de gestión para agentes cooperativistas y mutualistas.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Duración de cohortes cuatrimestrales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OBJETIVO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Contribuir a la formación de dirigentes, profesionales, mutualistas, cooperativas y promotores en general de Cultura Cooperativa, desde una oferta formativa y de capacitación.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FECHA DE INICIO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Desde su celebración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VIGENCIA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12 (doce) meses contados a partir del momento de la firma.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RECURSOS FINANCIEROS  INVOLUCRADOS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Financiado por el CGCYM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MONTO PRESUPUESTADO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391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.000 (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trescientos noventa y un mil</w:t>
            </w: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) por cohorte dictada</w:t>
            </w:r>
          </w:p>
        </w:tc>
      </w:tr>
      <w:tr>
        <w:trPr>
          <w:cantSplit w:val="1"/>
          <w:trHeight w:val="99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CANON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Sin canon</w:t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IMPACTO ESPERADO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En actividades de extensión y vinculación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Formación en conocimientos específicos de organizaciones, cooperativas y mutuales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Mejorar la calidad de la Gestión de Cooperativas y Mutuales</w:t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Dicho proyecto deberá contar con la aprobación del Consejo Superior de la Universidad, mediante la Resolución (Art. 48 Inciso “A” Estatuto)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Sin ejecución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DESCRIBIR LOS BENEFICIOS PARA LA SOCIEDAD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La actuación por parte de la UNSAM en proceso de formación de profesiones y en el fortalecimiento de cooperativas y mutuales redunda en altos beneficios para comunidades que organizan. El sector de referencia, pese a su larga historia en el país, mayormente no acceden a la formación superior. Su acceso redunda en la mejora de la gestión, el profesionalismo y consecuentemente en sus objetos sociales. 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DESCRIBIR LOS BENEFICIOS PARA LA UNIVERSIDAD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Potencia los vínculos virtuosos entre la Universidad y las Asociaciones de la Sociedad Civil. Los asociados en este proyecto tienen una larga experiencia de más de 50 años en el campo cooperativo y de las mutuales. La sinergia entre ambas coadyuva a la inclusión en la Universidad a sectores de la población que, por distancia y/o trabajo, no se vinculan habitualmente. 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IDENTIFICAR POSIBLES ASPECTOS CONTROVERSIALES PARA LA SOCIEDAD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No se identifican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IDENTIFICAR POSIBLES ASPECTOS CONTROVERSIALES PARA LA COMUNIDAD DE LA UNSAM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No se identifican</w:t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MECANISMOS PREVISTOS DE GESTIÓN: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ind w:left="720" w:firstLine="0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La Secretaría de Extensión y Vinculación es la Unidad designada por la UNSAM para el desarrollo y ejecución del presente Convenio.  La Coordinación del SIED-SGA brindará la asistencia técnica y administrativa para el acceso y uso de la plataforma digital.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UNIDAD ADMINISTRATIVA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Secretaría de Extensión y Vinculación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CIERRE DEL CONVENIO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RENDICIÓN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INFORME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vertAlign w:val="baseline"/>
                <w:rtl w:val="0"/>
              </w:rPr>
              <w:t xml:space="preserve">FIRMA Y ACLARACION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ahoma" w:cs="Tahoma" w:eastAsia="Tahoma" w:hAnsi="Tahom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0" w:w="11907" w:orient="portrait"/>
      <w:pgMar w:bottom="1134" w:top="2268" w:left="226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-662304</wp:posOffset>
          </wp:positionH>
          <wp:positionV relativeFrom="paragraph">
            <wp:posOffset>-135889</wp:posOffset>
          </wp:positionV>
          <wp:extent cx="1870075" cy="8343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810" l="18891" r="18693" t="10466"/>
                  <a:stretch>
                    <a:fillRect/>
                  </a:stretch>
                </pic:blipFill>
                <pic:spPr>
                  <a:xfrm>
                    <a:off x="0" y="0"/>
                    <a:ext cx="1870075" cy="8343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7"/>
    </w:pPr>
    <w:rPr>
      <w:rFonts w:ascii="Comic Sans MS" w:hAnsi="Comic Sans MS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AR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2ToDoDtuMzcfDkOtfrOQiL/X8w==">CgMxLjAyCGguZ2pkZ3hzOAByITFyRTZXQ0c2ZUdJMjlLbEpDTEVhLTNXb0l3WjZQLXN4Ng==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2023-03-02T13:35:00Z</dcterms:created>
  <dc:creator>cprado</dc:creator>
</cp:coreProperties>
</file>